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D242">
      <w:pPr>
        <w:keepNext w:val="0"/>
        <w:keepLines w:val="0"/>
        <w:pageBreakBefore w:val="0"/>
        <w:widowControl w:val="0"/>
        <w:spacing w:before="120" w:after="120" w:line="0" w:lineRule="atLeast"/>
        <w:jc w:val="center"/>
        <w:outlineLvl w:val="0"/>
        <w:rPr>
          <w:rFonts w:hint="eastAsia" w:ascii="仿宋" w:hAnsi="仿宋" w:eastAsia="仿宋" w:cs="仿宋"/>
          <w:b/>
          <w:bCs w:val="0"/>
          <w:color w:val="auto"/>
          <w:sz w:val="44"/>
          <w:szCs w:val="21"/>
          <w:highlight w:val="none"/>
        </w:rPr>
      </w:pPr>
      <w:bookmarkStart w:id="0" w:name="_Toc11133"/>
      <w:r>
        <w:rPr>
          <w:rFonts w:hint="eastAsia" w:ascii="仿宋" w:hAnsi="仿宋" w:eastAsia="仿宋" w:cs="仿宋"/>
          <w:b/>
          <w:bCs w:val="0"/>
          <w:color w:val="auto"/>
          <w:sz w:val="44"/>
          <w:szCs w:val="21"/>
          <w:highlight w:val="none"/>
        </w:rPr>
        <w:t>第四章</w:t>
      </w:r>
      <w:bookmarkStart w:id="9" w:name="_GoBack"/>
      <w:r>
        <w:rPr>
          <w:rFonts w:hint="eastAsia" w:ascii="仿宋" w:hAnsi="仿宋" w:eastAsia="仿宋" w:cs="仿宋"/>
          <w:b/>
          <w:bCs w:val="0"/>
          <w:color w:val="auto"/>
          <w:sz w:val="44"/>
          <w:szCs w:val="21"/>
          <w:highlight w:val="none"/>
        </w:rPr>
        <w:t xml:space="preserve"> 采购需求</w:t>
      </w:r>
      <w:bookmarkEnd w:id="9"/>
      <w:bookmarkEnd w:id="0"/>
    </w:p>
    <w:p w14:paraId="0153015F">
      <w:pPr>
        <w:pStyle w:val="6"/>
        <w:spacing w:line="360" w:lineRule="auto"/>
        <w:ind w:firstLine="480"/>
        <w:rPr>
          <w:rFonts w:hint="eastAsia" w:ascii="仿宋" w:hAnsi="仿宋" w:eastAsia="仿宋" w:cs="仿宋"/>
          <w:color w:val="auto"/>
          <w:sz w:val="24"/>
          <w:szCs w:val="24"/>
          <w:highlight w:val="none"/>
        </w:rPr>
      </w:pPr>
    </w:p>
    <w:p w14:paraId="29C2D190">
      <w:pPr>
        <w:pStyle w:val="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p>
    <w:p w14:paraId="341DB79B">
      <w:pPr>
        <w:pStyle w:val="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本项目采购标的对应的中小企业划分标准所属行业：其他未列明行业 </w:t>
      </w:r>
    </w:p>
    <w:p w14:paraId="569608F3">
      <w:pPr>
        <w:pStyle w:val="6"/>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本项目不接受进口产品。</w:t>
      </w:r>
    </w:p>
    <w:p w14:paraId="3C1B38BD">
      <w:pPr>
        <w:pStyle w:val="8"/>
        <w:spacing w:line="360" w:lineRule="auto"/>
        <w:ind w:firstLine="482" w:firstLineChars="200"/>
        <w:outlineLvl w:val="9"/>
        <w:rPr>
          <w:rFonts w:hint="eastAsia" w:ascii="仿宋" w:hAnsi="仿宋" w:eastAsia="仿宋" w:cs="仿宋"/>
          <w:b/>
          <w:bCs w:val="0"/>
          <w:color w:val="auto"/>
          <w:kern w:val="2"/>
          <w:sz w:val="24"/>
          <w:szCs w:val="22"/>
          <w:highlight w:val="none"/>
          <w:lang w:val="en-US" w:eastAsia="zh-CN" w:bidi="ar-SA"/>
        </w:rPr>
      </w:pPr>
      <w:r>
        <w:rPr>
          <w:rFonts w:hint="eastAsia" w:ascii="仿宋" w:hAnsi="仿宋" w:eastAsia="仿宋" w:cs="仿宋"/>
          <w:b/>
          <w:bCs w:val="0"/>
          <w:color w:val="auto"/>
          <w:kern w:val="2"/>
          <w:sz w:val="24"/>
          <w:szCs w:val="22"/>
          <w:highlight w:val="none"/>
          <w:lang w:val="en-US" w:eastAsia="zh-CN" w:bidi="ar-SA"/>
        </w:rPr>
        <w:t>一、项目概况</w:t>
      </w:r>
    </w:p>
    <w:p w14:paraId="7D510B46">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（一）</w:t>
      </w:r>
      <w:r>
        <w:rPr>
          <w:rFonts w:hint="eastAsia" w:ascii="仿宋" w:hAnsi="仿宋" w:eastAsia="仿宋" w:cs="仿宋"/>
          <w:color w:val="auto"/>
          <w:sz w:val="24"/>
          <w:szCs w:val="24"/>
          <w:highlight w:val="none"/>
          <w:lang w:val="en-US" w:eastAsia="zh-CN"/>
        </w:rPr>
        <w:t>根</w:t>
      </w:r>
      <w:r>
        <w:rPr>
          <w:rFonts w:hint="eastAsia" w:ascii="仿宋" w:hAnsi="仿宋" w:eastAsia="仿宋" w:cs="仿宋"/>
          <w:color w:val="auto"/>
          <w:sz w:val="24"/>
          <w:szCs w:val="24"/>
          <w:highlight w:val="none"/>
        </w:rPr>
        <w:t>据202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宿迁市宿城区市场监督管理局食品快速检测工作计划安排，主要对辖区内等采样对象及采样品种，及时开展并按要求完成快速检测工作。并根据宿迁市宿城区市场监督管理局专项检查需要对食品小作坊、食品摊贩、食品销售者和餐饮服务提供者进行快检。服务期内检测批次不少于</w:t>
      </w:r>
      <w:r>
        <w:rPr>
          <w:rFonts w:hint="eastAsia" w:ascii="仿宋" w:hAnsi="仿宋" w:eastAsia="仿宋" w:cs="仿宋"/>
          <w:color w:val="auto"/>
          <w:sz w:val="24"/>
          <w:szCs w:val="24"/>
          <w:highlight w:val="none"/>
          <w:lang w:val="en-US" w:eastAsia="zh-CN"/>
        </w:rPr>
        <w:t>16000</w:t>
      </w:r>
      <w:r>
        <w:rPr>
          <w:rFonts w:hint="eastAsia" w:ascii="仿宋" w:hAnsi="仿宋" w:eastAsia="仿宋" w:cs="仿宋"/>
          <w:color w:val="auto"/>
          <w:sz w:val="24"/>
          <w:szCs w:val="24"/>
          <w:highlight w:val="none"/>
        </w:rPr>
        <w:t>批次，同时按照要求上传、报送快检数据，协助宿城区市场监督管理局做好相关快检结果后续处理工作，实现从样品抽取到完成后续处理的全周期“包干”服务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协助做好集中区小作坊肉制品快检工作；</w:t>
      </w:r>
      <w:r>
        <w:rPr>
          <w:rFonts w:hint="eastAsia" w:ascii="仿宋" w:hAnsi="仿宋" w:eastAsia="仿宋" w:cs="仿宋"/>
          <w:bCs/>
          <w:color w:val="auto"/>
          <w:kern w:val="2"/>
          <w:sz w:val="24"/>
          <w:szCs w:val="22"/>
          <w:highlight w:val="none"/>
          <w:lang w:val="en-US" w:eastAsia="zh-CN" w:bidi="ar-SA"/>
        </w:rPr>
        <w:t>。</w:t>
      </w:r>
    </w:p>
    <w:p w14:paraId="3A7A4BF7">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kern w:val="2"/>
          <w:sz w:val="24"/>
          <w:szCs w:val="22"/>
          <w:highlight w:val="none"/>
          <w:lang w:val="en-US" w:eastAsia="zh-CN" w:bidi="ar-SA"/>
        </w:rPr>
        <w:t>二、付款方式：</w:t>
      </w:r>
      <w:r>
        <w:rPr>
          <w:rFonts w:hint="eastAsia" w:ascii="仿宋" w:hAnsi="仿宋" w:eastAsia="仿宋" w:cs="仿宋"/>
          <w:color w:val="auto"/>
          <w:sz w:val="24"/>
          <w:szCs w:val="24"/>
          <w:highlight w:val="none"/>
          <w:lang w:val="en-US" w:eastAsia="zh-CN"/>
        </w:rPr>
        <w:t>根据实际完成量按季度结算，每季度的第一个月的十五号前，报上一季度的完成数量，经采购人确认后支付完成量×合同单价，项目整体完成后经验收合格付清余款。</w:t>
      </w:r>
    </w:p>
    <w:p w14:paraId="7D178FA8">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val="0"/>
          <w:color w:val="auto"/>
          <w:kern w:val="2"/>
          <w:sz w:val="24"/>
          <w:szCs w:val="22"/>
          <w:highlight w:val="none"/>
          <w:lang w:val="en-US" w:eastAsia="zh-CN" w:bidi="ar-SA"/>
        </w:rPr>
      </w:pPr>
      <w:r>
        <w:rPr>
          <w:rFonts w:hint="eastAsia" w:ascii="仿宋" w:hAnsi="仿宋" w:eastAsia="仿宋" w:cs="仿宋"/>
          <w:b/>
          <w:bCs w:val="0"/>
          <w:color w:val="auto"/>
          <w:kern w:val="2"/>
          <w:sz w:val="24"/>
          <w:szCs w:val="22"/>
          <w:highlight w:val="none"/>
          <w:lang w:val="en-US" w:eastAsia="zh-CN" w:bidi="ar-SA"/>
        </w:rPr>
        <w:t>三、服务内容及要求：</w:t>
      </w:r>
    </w:p>
    <w:p w14:paraId="718C45AE">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仿宋" w:hAnsi="仿宋" w:eastAsia="仿宋" w:cs="仿宋"/>
          <w:b/>
          <w:bCs w:val="0"/>
          <w:color w:val="auto"/>
          <w:kern w:val="2"/>
          <w:sz w:val="24"/>
          <w:szCs w:val="22"/>
          <w:highlight w:val="none"/>
          <w:lang w:val="en-US" w:eastAsia="zh-CN" w:bidi="ar-SA"/>
        </w:rPr>
      </w:pPr>
      <w:r>
        <w:rPr>
          <w:rFonts w:hint="eastAsia" w:ascii="仿宋" w:hAnsi="仿宋" w:eastAsia="仿宋" w:cs="仿宋"/>
          <w:b/>
          <w:bCs w:val="0"/>
          <w:color w:val="auto"/>
          <w:kern w:val="2"/>
          <w:sz w:val="24"/>
          <w:szCs w:val="22"/>
          <w:highlight w:val="none"/>
          <w:lang w:val="en-US" w:eastAsia="zh-CN" w:bidi="ar-SA"/>
        </w:rPr>
        <w:t>(一）食用农产品快检任务安排表</w:t>
      </w:r>
    </w:p>
    <w:tbl>
      <w:tblPr>
        <w:tblStyle w:val="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3"/>
        <w:gridCol w:w="4308"/>
        <w:gridCol w:w="961"/>
        <w:gridCol w:w="943"/>
      </w:tblGrid>
      <w:tr w14:paraId="566C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B16074A">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序号</w:t>
            </w:r>
          </w:p>
        </w:tc>
        <w:tc>
          <w:tcPr>
            <w:tcW w:w="1923" w:type="dxa"/>
            <w:vAlign w:val="center"/>
          </w:tcPr>
          <w:p w14:paraId="71E35870">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服务内容</w:t>
            </w:r>
          </w:p>
        </w:tc>
        <w:tc>
          <w:tcPr>
            <w:tcW w:w="4308" w:type="dxa"/>
            <w:vAlign w:val="center"/>
          </w:tcPr>
          <w:p w14:paraId="3C689EE9">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检测范围</w:t>
            </w:r>
          </w:p>
        </w:tc>
        <w:tc>
          <w:tcPr>
            <w:tcW w:w="961" w:type="dxa"/>
            <w:vAlign w:val="center"/>
          </w:tcPr>
          <w:p w14:paraId="7F950871">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单位</w:t>
            </w:r>
          </w:p>
        </w:tc>
        <w:tc>
          <w:tcPr>
            <w:tcW w:w="943" w:type="dxa"/>
            <w:vAlign w:val="center"/>
          </w:tcPr>
          <w:p w14:paraId="3D775439">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数量</w:t>
            </w:r>
          </w:p>
        </w:tc>
      </w:tr>
      <w:tr w14:paraId="4DE5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0CB00BB9">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1</w:t>
            </w:r>
          </w:p>
        </w:tc>
        <w:tc>
          <w:tcPr>
            <w:tcW w:w="1923" w:type="dxa"/>
            <w:vAlign w:val="center"/>
          </w:tcPr>
          <w:p w14:paraId="20D508A2">
            <w:pPr>
              <w:bidi w:val="0"/>
              <w:spacing w:after="0" w:line="360" w:lineRule="auto"/>
              <w:jc w:val="left"/>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农产品快速检测</w:t>
            </w:r>
          </w:p>
        </w:tc>
        <w:tc>
          <w:tcPr>
            <w:tcW w:w="4308" w:type="dxa"/>
            <w:vAlign w:val="center"/>
          </w:tcPr>
          <w:p w14:paraId="44558F12">
            <w:pPr>
              <w:bidi w:val="0"/>
              <w:spacing w:after="0" w:line="360" w:lineRule="auto"/>
              <w:jc w:val="left"/>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color w:val="auto"/>
                <w:sz w:val="24"/>
                <w:szCs w:val="24"/>
                <w:highlight w:val="none"/>
              </w:rPr>
              <w:t>食用农产品集中交易市场、食用农产品销售者</w:t>
            </w:r>
            <w:r>
              <w:rPr>
                <w:rFonts w:hint="eastAsia" w:ascii="仿宋" w:hAnsi="仿宋" w:eastAsia="仿宋" w:cs="仿宋"/>
                <w:color w:val="auto"/>
                <w:sz w:val="24"/>
                <w:szCs w:val="24"/>
                <w:highlight w:val="none"/>
                <w:lang w:eastAsia="zh-CN"/>
              </w:rPr>
              <w:t>。</w:t>
            </w:r>
          </w:p>
        </w:tc>
        <w:tc>
          <w:tcPr>
            <w:tcW w:w="961" w:type="dxa"/>
            <w:vAlign w:val="center"/>
          </w:tcPr>
          <w:p w14:paraId="7A994A07">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批</w:t>
            </w:r>
          </w:p>
        </w:tc>
        <w:tc>
          <w:tcPr>
            <w:tcW w:w="943" w:type="dxa"/>
            <w:vAlign w:val="center"/>
          </w:tcPr>
          <w:p w14:paraId="37F21504">
            <w:pPr>
              <w:bidi w:val="0"/>
              <w:spacing w:after="0" w:line="360" w:lineRule="auto"/>
              <w:jc w:val="center"/>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color w:val="auto"/>
                <w:sz w:val="24"/>
                <w:szCs w:val="24"/>
                <w:highlight w:val="none"/>
                <w:lang w:val="en-US" w:eastAsia="zh-CN"/>
              </w:rPr>
              <w:t>16000</w:t>
            </w:r>
          </w:p>
        </w:tc>
      </w:tr>
    </w:tbl>
    <w:p w14:paraId="501A5FAE">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bidi="ar-SA"/>
        </w:rPr>
      </w:pPr>
    </w:p>
    <w:p w14:paraId="1E323914">
      <w:pPr>
        <w:numPr>
          <w:ilvl w:val="0"/>
          <w:numId w:val="0"/>
        </w:num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ar-SA"/>
        </w:rPr>
        <w:t>（二）</w:t>
      </w:r>
      <w:r>
        <w:rPr>
          <w:rFonts w:hint="eastAsia" w:ascii="仿宋" w:hAnsi="仿宋" w:eastAsia="仿宋" w:cs="仿宋"/>
          <w:b/>
          <w:bCs/>
          <w:color w:val="auto"/>
          <w:sz w:val="24"/>
          <w:szCs w:val="24"/>
          <w:highlight w:val="none"/>
          <w:lang w:val="en-US" w:eastAsia="zh-CN"/>
        </w:rPr>
        <w:t>服务要求</w:t>
      </w:r>
    </w:p>
    <w:p w14:paraId="640ECC14">
      <w:pPr>
        <w:spacing w:line="360" w:lineRule="auto"/>
        <w:ind w:firstLine="480" w:firstLineChars="200"/>
        <w:outlineLvl w:val="1"/>
        <w:rPr>
          <w:rFonts w:hint="eastAsia" w:ascii="仿宋" w:hAnsi="仿宋" w:eastAsia="仿宋" w:cs="仿宋"/>
          <w:b w:val="0"/>
          <w:bCs/>
          <w:color w:val="auto"/>
          <w:sz w:val="24"/>
          <w:szCs w:val="24"/>
          <w:highlight w:val="none"/>
        </w:rPr>
      </w:pPr>
      <w:bookmarkStart w:id="1" w:name="_Toc15467"/>
      <w:r>
        <w:rPr>
          <w:rFonts w:hint="eastAsia" w:ascii="仿宋" w:hAnsi="仿宋" w:eastAsia="仿宋" w:cs="仿宋"/>
          <w:b w:val="0"/>
          <w:bCs/>
          <w:color w:val="auto"/>
          <w:sz w:val="24"/>
          <w:szCs w:val="24"/>
          <w:highlight w:val="none"/>
        </w:rPr>
        <w:t>1、人员要求</w:t>
      </w:r>
      <w:bookmarkEnd w:id="1"/>
    </w:p>
    <w:p w14:paraId="1643F7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宿迁市宿城区市场监督管理局下辖1个检测中心，检测中心定点安排</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名快检人员，快检人员必须经过培训后上岗，并建立定期培训制度。工作时应当穿着统一检测工作服。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建好的食品快检室开展检测工作，上午负责到辖区内相应地点进行食品抽样并送回快检室检测，南菜市检测结果当天上午8:00前，其他市场当天上午9:00前完成所有计划检测项目并归档及数据上传公示。并能够协助举办重大活动食品安全保障、中高考保障、食品安全应急处置、基层执法辅助、公益活动宣传等工作。</w:t>
      </w:r>
    </w:p>
    <w:p w14:paraId="2B64C1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为本项目配备的专职快检人员，具体要求如下：</w:t>
      </w:r>
    </w:p>
    <w:p w14:paraId="6FAAED48">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①具有2年以上食品安全快检相关工作经验；</w:t>
      </w:r>
    </w:p>
    <w:p w14:paraId="49D79A24">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能熟练操作食品安全快检设备及计算机</w:t>
      </w:r>
      <w:r>
        <w:rPr>
          <w:rFonts w:hint="eastAsia" w:ascii="仿宋" w:hAnsi="仿宋" w:eastAsia="仿宋" w:cs="仿宋"/>
          <w:color w:val="auto"/>
          <w:sz w:val="24"/>
          <w:szCs w:val="24"/>
          <w:highlight w:val="none"/>
          <w:lang w:eastAsia="zh-CN"/>
        </w:rPr>
        <w:t>。</w:t>
      </w:r>
    </w:p>
    <w:p w14:paraId="4FFA5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val="0"/>
          <w:color w:val="auto"/>
          <w:kern w:val="2"/>
          <w:sz w:val="24"/>
          <w:szCs w:val="24"/>
          <w:highlight w:val="none"/>
          <w:lang w:val="en-US" w:eastAsia="zh-CN" w:bidi="ar-SA"/>
        </w:rPr>
      </w:pPr>
      <w:bookmarkStart w:id="2" w:name="_Toc6368"/>
      <w:r>
        <w:rPr>
          <w:rFonts w:hint="eastAsia" w:ascii="仿宋" w:hAnsi="仿宋" w:eastAsia="仿宋" w:cs="仿宋"/>
          <w:b w:val="0"/>
          <w:bCs w:val="0"/>
          <w:color w:val="auto"/>
          <w:kern w:val="2"/>
          <w:sz w:val="24"/>
          <w:szCs w:val="24"/>
          <w:highlight w:val="none"/>
          <w:lang w:val="en-US" w:eastAsia="zh-CN" w:bidi="ar-SA"/>
        </w:rPr>
        <w:t>2、快检室基本要求</w:t>
      </w:r>
      <w:bookmarkEnd w:id="2"/>
    </w:p>
    <w:p w14:paraId="0E7E52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在提供技术服务期间须使用快检室配备的食品快检设备或自备快检设备开展检测、数据上传等工作，并进行维护保养及日常校准，需提供备用仪器和设备，确保每日快检工作的正常进行。</w:t>
      </w:r>
    </w:p>
    <w:p w14:paraId="56577042">
      <w:pPr>
        <w:spacing w:line="360" w:lineRule="auto"/>
        <w:outlineLvl w:val="1"/>
        <w:rPr>
          <w:rFonts w:hint="eastAsia" w:ascii="仿宋" w:hAnsi="仿宋" w:eastAsia="仿宋" w:cs="仿宋"/>
          <w:b/>
          <w:color w:val="auto"/>
          <w:sz w:val="24"/>
          <w:szCs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b w:val="0"/>
          <w:bCs w:val="0"/>
          <w:color w:val="auto"/>
          <w:highlight w:val="none"/>
          <w:lang w:val="en-US" w:eastAsia="zh-CN"/>
        </w:rPr>
        <w:t xml:space="preserve">  </w:t>
      </w:r>
      <w:bookmarkStart w:id="3" w:name="_Toc29720"/>
      <w:r>
        <w:rPr>
          <w:rFonts w:hint="eastAsia" w:ascii="仿宋" w:hAnsi="仿宋" w:eastAsia="仿宋" w:cs="仿宋"/>
          <w:b w:val="0"/>
          <w:bCs w:val="0"/>
          <w:color w:val="auto"/>
          <w:sz w:val="24"/>
          <w:szCs w:val="24"/>
          <w:highlight w:val="none"/>
        </w:rPr>
        <w:t>3、检测要求</w:t>
      </w:r>
      <w:bookmarkEnd w:id="3"/>
    </w:p>
    <w:p w14:paraId="723529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抽样品种：以生鲜蔬菜瓜果、生鲜肉类、水产品、豆制品类等食品为主，兼顾其他食品。其中平均每天蔬菜瓜果类农残检测批次数不超过总批次的55%，生鲜肉类兽药残留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瘦肉精检测批次数不低于总批次15%，水产品类兽药残留检测批次数不低于总批次的</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%，其它非法添加类检测批次不低于总批次的1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%，上述指标以</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为周期进行考核，具体考核要求由采购人进行拟定。另根据本地实际及专项整治要求、季节变化等情况，监管部门可要求对快检数量和项目做适当的调整，每月提供《快检分析报告》。</w:t>
      </w:r>
    </w:p>
    <w:p w14:paraId="7708CE6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检测项目：应至少包括有机磷类、氨基甲酸酯类、菊酯类、克伦特罗、沙丁胺醇、莱克多巴胺、孔雀石绿、硝基呋喃类、磺胺类、氯霉素类、四环素类、链霉素类、黄曲霉毒素B1、黄曲霉毒素M1、赭曲霉毒素、玉米赤霉烯酮、呕吐毒素、三聚氰胺、吊白块、二氧化硫、甲醛、双氧水、亚硝酸盐、硼砂、苏丹红、罗丹明B、罂粟壳、硫酸铝钾、山梨酸、苯甲酸、糖精钠、合成着色剂、酸价、过氧化值等50余种。</w:t>
      </w:r>
    </w:p>
    <w:p w14:paraId="27335F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必须严格按照国家市场监督管理总局（</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原国家食品药品监督管理总局）规定的快速检测方法和技术标准进行检测，对于国家市场监督管理总局（</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原国家食品药品监督管理总局）未规定的快速检测方法和技术标准，投标人须参照国标标准或江苏省地方标准执行，没有相关标准的，按照采购方的具体需求实施。投标人使用的检测设备和耗材满足现场快速检测需要及相关安全质量技术标准要求，灵敏度高，结果可靠。对于出现误差率较高的农产品、食品品种和检测项目及时检讨并上报。因</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标人使用不合格快速检测设备和耗材造成的后果由</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标人负责。</w:t>
      </w:r>
    </w:p>
    <w:p w14:paraId="01694274">
      <w:pPr>
        <w:spacing w:line="360" w:lineRule="auto"/>
        <w:ind w:firstLine="480" w:firstLineChars="200"/>
        <w:rPr>
          <w:rFonts w:hint="eastAsia" w:ascii="仿宋" w:hAnsi="仿宋" w:eastAsia="仿宋" w:cs="仿宋"/>
          <w:color w:val="auto"/>
          <w:sz w:val="24"/>
          <w:szCs w:val="24"/>
          <w:highlight w:val="none"/>
        </w:rPr>
      </w:pPr>
    </w:p>
    <w:p w14:paraId="30765BA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检测品种和项目表</w:t>
      </w:r>
    </w:p>
    <w:tbl>
      <w:tblPr>
        <w:tblStyle w:val="3"/>
        <w:tblW w:w="8946" w:type="dxa"/>
        <w:jc w:val="center"/>
        <w:tblLayout w:type="fixed"/>
        <w:tblCellMar>
          <w:top w:w="0" w:type="dxa"/>
          <w:left w:w="10" w:type="dxa"/>
          <w:bottom w:w="0" w:type="dxa"/>
          <w:right w:w="10" w:type="dxa"/>
        </w:tblCellMar>
      </w:tblPr>
      <w:tblGrid>
        <w:gridCol w:w="1177"/>
        <w:gridCol w:w="3504"/>
        <w:gridCol w:w="4265"/>
      </w:tblGrid>
      <w:tr w14:paraId="0D0AF25D">
        <w:tblPrEx>
          <w:tblCellMar>
            <w:top w:w="0" w:type="dxa"/>
            <w:left w:w="10" w:type="dxa"/>
            <w:bottom w:w="0" w:type="dxa"/>
            <w:right w:w="10" w:type="dxa"/>
          </w:tblCellMar>
        </w:tblPrEx>
        <w:trPr>
          <w:trHeight w:val="52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8594D1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种类</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4D69D9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重点检测品种</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738DFF6">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重点检测项目</w:t>
            </w:r>
          </w:p>
        </w:tc>
      </w:tr>
      <w:tr w14:paraId="5F40A04B">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B3DEC2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蔬菜</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5784CD45">
            <w:pPr>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生菜、菜心、上海青、苦麦菜、黄白菜、小白菜、芥兰、芹菜、韭菜、西兰花、青瓜、茄子、四季豆、豇豆、土豆等</w:t>
            </w:r>
            <w:r>
              <w:rPr>
                <w:rFonts w:hint="eastAsia" w:ascii="仿宋" w:hAnsi="仿宋" w:eastAsia="仿宋" w:cs="仿宋"/>
                <w:bCs/>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057A615">
            <w:pP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有机磷类、氨基甲酸酯类、菊酯类、有机氯类农药、杀菌剂类农药等</w:t>
            </w:r>
            <w:r>
              <w:rPr>
                <w:rFonts w:hint="eastAsia" w:ascii="仿宋" w:hAnsi="仿宋" w:eastAsia="仿宋" w:cs="仿宋"/>
                <w:bCs/>
                <w:color w:val="auto"/>
                <w:sz w:val="24"/>
                <w:szCs w:val="24"/>
                <w:highlight w:val="none"/>
                <w:lang w:eastAsia="zh-CN"/>
              </w:rPr>
              <w:t>。</w:t>
            </w:r>
          </w:p>
        </w:tc>
      </w:tr>
      <w:tr w14:paraId="19088F7C">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16918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水果</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B2721E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苹果、桔子、梨、橙子、香蕉、桃子、凤梨、波罗蜜等</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403CFC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有机磷类、氨基甲酸酯类、菊酯类、有机氯类农药、杀菌剂类农药等</w:t>
            </w:r>
            <w:r>
              <w:rPr>
                <w:rFonts w:hint="eastAsia" w:ascii="仿宋" w:hAnsi="仿宋" w:eastAsia="仿宋" w:cs="仿宋"/>
                <w:color w:val="auto"/>
                <w:sz w:val="24"/>
                <w:szCs w:val="24"/>
                <w:highlight w:val="none"/>
                <w:lang w:eastAsia="zh-CN"/>
              </w:rPr>
              <w:t>。</w:t>
            </w:r>
          </w:p>
        </w:tc>
      </w:tr>
      <w:tr w14:paraId="75DD18F6">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24704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C576B27">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鲫鱼、草鱼、黄骨鱼、鳜鱼、花甲、扇贝、白贝、淡水虾、贻贝等</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03246A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甲醛、孔雀石绿、硝基呋喃类、氯霉素，二氧化硫</w:t>
            </w:r>
            <w:r>
              <w:rPr>
                <w:rFonts w:hint="eastAsia" w:ascii="仿宋" w:hAnsi="仿宋" w:eastAsia="仿宋" w:cs="仿宋"/>
                <w:color w:val="auto"/>
                <w:sz w:val="24"/>
                <w:szCs w:val="24"/>
                <w:highlight w:val="none"/>
                <w:lang w:eastAsia="zh-CN"/>
              </w:rPr>
              <w:t>。</w:t>
            </w:r>
          </w:p>
        </w:tc>
      </w:tr>
      <w:tr w14:paraId="321B61EE">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80F47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畜禽肉类</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39594C5">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猪肉、牛肉、羊肉、鸡肉等</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7FA9D2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盐酸克伦特罗、沙丁胺醇、莱克多巴胺、硝基呋喃类、氯霉素、磺胺类</w:t>
            </w:r>
            <w:r>
              <w:rPr>
                <w:rFonts w:hint="eastAsia" w:ascii="仿宋" w:hAnsi="仿宋" w:eastAsia="仿宋" w:cs="仿宋"/>
                <w:color w:val="auto"/>
                <w:sz w:val="24"/>
                <w:szCs w:val="24"/>
                <w:highlight w:val="none"/>
                <w:lang w:eastAsia="zh-CN"/>
              </w:rPr>
              <w:t>。</w:t>
            </w:r>
          </w:p>
        </w:tc>
      </w:tr>
      <w:tr w14:paraId="011F4713">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01160A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禽蛋类</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0511BC8E">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鸡蛋、鸭蛋等及禽蛋制品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B00A31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喹诺酮类、四环素、沙星类</w:t>
            </w:r>
            <w:r>
              <w:rPr>
                <w:rFonts w:hint="eastAsia" w:ascii="仿宋" w:hAnsi="仿宋" w:eastAsia="仿宋" w:cs="仿宋"/>
                <w:color w:val="auto"/>
                <w:sz w:val="24"/>
                <w:szCs w:val="24"/>
                <w:highlight w:val="none"/>
                <w:lang w:eastAsia="zh-CN"/>
              </w:rPr>
              <w:t>。</w:t>
            </w:r>
          </w:p>
        </w:tc>
      </w:tr>
      <w:tr w14:paraId="2CB45556">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14:paraId="3A5788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食用植物油</w:t>
            </w:r>
          </w:p>
        </w:tc>
        <w:tc>
          <w:tcPr>
            <w:tcW w:w="3504" w:type="dxa"/>
            <w:tcBorders>
              <w:top w:val="single" w:color="000000" w:sz="4" w:space="0"/>
              <w:left w:val="nil"/>
              <w:bottom w:val="single" w:color="auto" w:sz="4" w:space="0"/>
              <w:right w:val="single" w:color="000000" w:sz="4" w:space="0"/>
            </w:tcBorders>
            <w:shd w:val="clear" w:color="auto" w:fill="FFFFFF"/>
            <w:noWrap w:val="0"/>
            <w:tcMar>
              <w:top w:w="0" w:type="dxa"/>
              <w:left w:w="108" w:type="dxa"/>
              <w:bottom w:w="0" w:type="dxa"/>
              <w:right w:w="108" w:type="dxa"/>
            </w:tcMar>
            <w:vAlign w:val="center"/>
          </w:tcPr>
          <w:p w14:paraId="16073CA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食用油（煎炸油）等</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D5998E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酸价、过氧化值</w:t>
            </w:r>
            <w:r>
              <w:rPr>
                <w:rFonts w:hint="eastAsia" w:ascii="仿宋" w:hAnsi="仿宋" w:eastAsia="仿宋" w:cs="仿宋"/>
                <w:color w:val="auto"/>
                <w:sz w:val="24"/>
                <w:szCs w:val="24"/>
                <w:highlight w:val="none"/>
                <w:lang w:eastAsia="zh-CN"/>
              </w:rPr>
              <w:t>。</w:t>
            </w:r>
          </w:p>
        </w:tc>
      </w:tr>
      <w:tr w14:paraId="393CB4B1">
        <w:tblPrEx>
          <w:tblCellMar>
            <w:top w:w="0" w:type="dxa"/>
            <w:left w:w="10" w:type="dxa"/>
            <w:bottom w:w="0" w:type="dxa"/>
            <w:right w:w="10" w:type="dxa"/>
          </w:tblCellMar>
        </w:tblPrEx>
        <w:trPr>
          <w:jc w:val="center"/>
        </w:trPr>
        <w:tc>
          <w:tcPr>
            <w:tcW w:w="117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B814B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粮食加工品</w:t>
            </w:r>
          </w:p>
        </w:tc>
        <w:tc>
          <w:tcPr>
            <w:tcW w:w="3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748507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小麦粉、生湿面制品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42EF91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吊白块、过氧化苯甲酰、呕吐毒素</w:t>
            </w:r>
            <w:r>
              <w:rPr>
                <w:rFonts w:hint="eastAsia" w:ascii="仿宋" w:hAnsi="仿宋" w:eastAsia="仿宋" w:cs="仿宋"/>
                <w:color w:val="auto"/>
                <w:sz w:val="24"/>
                <w:szCs w:val="24"/>
                <w:highlight w:val="none"/>
                <w:lang w:eastAsia="zh-CN"/>
              </w:rPr>
              <w:t>。</w:t>
            </w:r>
          </w:p>
        </w:tc>
      </w:tr>
      <w:tr w14:paraId="5BC5ABFF">
        <w:tblPrEx>
          <w:tblCellMar>
            <w:top w:w="0" w:type="dxa"/>
            <w:left w:w="10" w:type="dxa"/>
            <w:bottom w:w="0" w:type="dxa"/>
            <w:right w:w="10" w:type="dxa"/>
          </w:tblCellMar>
        </w:tblPrEx>
        <w:trPr>
          <w:jc w:val="center"/>
        </w:trPr>
        <w:tc>
          <w:tcPr>
            <w:tcW w:w="11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07C53F">
            <w:pPr>
              <w:widowControl/>
              <w:jc w:val="left"/>
              <w:rPr>
                <w:rFonts w:hint="eastAsia" w:ascii="仿宋" w:hAnsi="仿宋" w:eastAsia="仿宋" w:cs="仿宋"/>
                <w:color w:val="auto"/>
                <w:sz w:val="24"/>
                <w:szCs w:val="24"/>
                <w:highlight w:val="none"/>
              </w:rPr>
            </w:pPr>
          </w:p>
        </w:tc>
        <w:tc>
          <w:tcPr>
            <w:tcW w:w="3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B57EF1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大米</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B4FADD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黄曲霉毒素B1、呕吐毒素</w:t>
            </w:r>
            <w:r>
              <w:rPr>
                <w:rFonts w:hint="eastAsia" w:ascii="仿宋" w:hAnsi="仿宋" w:eastAsia="仿宋" w:cs="仿宋"/>
                <w:color w:val="auto"/>
                <w:sz w:val="24"/>
                <w:szCs w:val="24"/>
                <w:highlight w:val="none"/>
                <w:lang w:eastAsia="zh-CN"/>
              </w:rPr>
              <w:t>。</w:t>
            </w:r>
          </w:p>
        </w:tc>
      </w:tr>
      <w:tr w14:paraId="0A4BE9FA">
        <w:tblPrEx>
          <w:tblCellMar>
            <w:top w:w="0" w:type="dxa"/>
            <w:left w:w="10" w:type="dxa"/>
            <w:bottom w:w="0" w:type="dxa"/>
            <w:right w:w="10" w:type="dxa"/>
          </w:tblCellMar>
        </w:tblPrEx>
        <w:trPr>
          <w:jc w:val="center"/>
        </w:trPr>
        <w:tc>
          <w:tcPr>
            <w:tcW w:w="1177"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EB2CC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米面制品</w:t>
            </w:r>
          </w:p>
        </w:tc>
        <w:tc>
          <w:tcPr>
            <w:tcW w:w="3504" w:type="dxa"/>
            <w:tcBorders>
              <w:top w:val="single" w:color="auto"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0AED9A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馒头、发糕、油条</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FC114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硫酸铝钾、硫酸铝铵</w:t>
            </w:r>
          </w:p>
        </w:tc>
      </w:tr>
      <w:tr w14:paraId="0DD3726C">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0BAE7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肉制品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BC9C14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散装熟卤肉制品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B0232C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亚硝酸盐</w:t>
            </w:r>
            <w:r>
              <w:rPr>
                <w:rFonts w:hint="eastAsia" w:ascii="仿宋" w:hAnsi="仿宋" w:eastAsia="仿宋" w:cs="仿宋"/>
                <w:color w:val="auto"/>
                <w:sz w:val="24"/>
                <w:szCs w:val="24"/>
                <w:highlight w:val="none"/>
                <w:lang w:eastAsia="zh-CN"/>
              </w:rPr>
              <w:t>。</w:t>
            </w:r>
          </w:p>
        </w:tc>
      </w:tr>
      <w:tr w14:paraId="30D5AAF4">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BBF76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水产制品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506FC18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水产制品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3F5AAD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二氧化硫</w:t>
            </w:r>
            <w:r>
              <w:rPr>
                <w:rFonts w:hint="eastAsia" w:ascii="仿宋" w:hAnsi="仿宋" w:eastAsia="仿宋" w:cs="仿宋"/>
                <w:color w:val="auto"/>
                <w:sz w:val="24"/>
                <w:szCs w:val="24"/>
                <w:highlight w:val="none"/>
                <w:lang w:eastAsia="zh-CN"/>
              </w:rPr>
              <w:t>。</w:t>
            </w:r>
          </w:p>
        </w:tc>
      </w:tr>
      <w:tr w14:paraId="179B2F96">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5764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水发产品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5A13FC5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水发产品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2C4B38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甲醛、双氧水</w:t>
            </w:r>
            <w:r>
              <w:rPr>
                <w:rFonts w:hint="eastAsia" w:ascii="仿宋" w:hAnsi="仿宋" w:eastAsia="仿宋" w:cs="仿宋"/>
                <w:color w:val="auto"/>
                <w:sz w:val="24"/>
                <w:szCs w:val="24"/>
                <w:highlight w:val="none"/>
                <w:lang w:eastAsia="zh-CN"/>
              </w:rPr>
              <w:t>。</w:t>
            </w:r>
          </w:p>
        </w:tc>
      </w:tr>
      <w:tr w14:paraId="7F702481">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603977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淀粉制品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022052A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粉丝、粉条、凉皮</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42B5EC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铝的残留量、二氧化硫</w:t>
            </w:r>
            <w:r>
              <w:rPr>
                <w:rFonts w:hint="eastAsia" w:ascii="仿宋" w:hAnsi="仿宋" w:eastAsia="仿宋" w:cs="仿宋"/>
                <w:color w:val="auto"/>
                <w:sz w:val="24"/>
                <w:szCs w:val="24"/>
                <w:highlight w:val="none"/>
                <w:lang w:eastAsia="zh-CN"/>
              </w:rPr>
              <w:t>。</w:t>
            </w:r>
          </w:p>
        </w:tc>
      </w:tr>
      <w:tr w14:paraId="1CD69C2C">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8DC82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调味品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130EDA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火锅、麻辣烫调味料（底料、蘸料）</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09B885C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罂粟类物质</w:t>
            </w:r>
            <w:r>
              <w:rPr>
                <w:rFonts w:hint="eastAsia" w:ascii="仿宋" w:hAnsi="仿宋" w:eastAsia="仿宋" w:cs="仿宋"/>
                <w:color w:val="auto"/>
                <w:sz w:val="24"/>
                <w:szCs w:val="24"/>
                <w:highlight w:val="none"/>
                <w:lang w:eastAsia="zh-CN"/>
              </w:rPr>
              <w:t>。</w:t>
            </w:r>
          </w:p>
        </w:tc>
      </w:tr>
      <w:tr w14:paraId="56DFD885">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2C0ED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膨化食品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4F8CAAB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膨化食品</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7ED953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铝的残留量</w:t>
            </w:r>
            <w:r>
              <w:rPr>
                <w:rFonts w:hint="eastAsia" w:ascii="仿宋" w:hAnsi="仿宋" w:eastAsia="仿宋" w:cs="仿宋"/>
                <w:color w:val="auto"/>
                <w:sz w:val="24"/>
                <w:szCs w:val="24"/>
                <w:highlight w:val="none"/>
                <w:lang w:eastAsia="zh-CN"/>
              </w:rPr>
              <w:t>。</w:t>
            </w:r>
          </w:p>
        </w:tc>
      </w:tr>
      <w:tr w14:paraId="7A567D19">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A7DC2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豆制品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EC0B78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腐竹、豆干、豆腐</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085E96B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铝的残留量、二氧化硫、吊白块</w:t>
            </w:r>
            <w:r>
              <w:rPr>
                <w:rFonts w:hint="eastAsia" w:ascii="仿宋" w:hAnsi="仿宋" w:eastAsia="仿宋" w:cs="仿宋"/>
                <w:color w:val="auto"/>
                <w:sz w:val="24"/>
                <w:szCs w:val="24"/>
                <w:highlight w:val="none"/>
                <w:lang w:eastAsia="zh-CN"/>
              </w:rPr>
              <w:t>。</w:t>
            </w:r>
          </w:p>
        </w:tc>
      </w:tr>
      <w:tr w14:paraId="2BC09E80">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1B19FA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水果制品</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C5FC3E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蜜饯、果脯</w:t>
            </w:r>
            <w:r>
              <w:rPr>
                <w:rFonts w:hint="eastAsia" w:ascii="仿宋" w:hAnsi="仿宋" w:eastAsia="仿宋" w:cs="仿宋"/>
                <w:color w:val="auto"/>
                <w:sz w:val="24"/>
                <w:szCs w:val="24"/>
                <w:highlight w:val="none"/>
                <w:lang w:eastAsia="zh-CN"/>
              </w:rPr>
              <w:t>。</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0F48D9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糖精钠、甜蜜素</w:t>
            </w:r>
            <w:r>
              <w:rPr>
                <w:rFonts w:hint="eastAsia" w:ascii="仿宋" w:hAnsi="仿宋" w:eastAsia="仿宋" w:cs="仿宋"/>
                <w:color w:val="auto"/>
                <w:sz w:val="24"/>
                <w:szCs w:val="24"/>
                <w:highlight w:val="none"/>
                <w:lang w:eastAsia="zh-CN"/>
              </w:rPr>
              <w:t>。</w:t>
            </w:r>
          </w:p>
        </w:tc>
      </w:tr>
      <w:tr w14:paraId="41E6006C">
        <w:tblPrEx>
          <w:tblCellMar>
            <w:top w:w="0" w:type="dxa"/>
            <w:left w:w="10" w:type="dxa"/>
            <w:bottom w:w="0" w:type="dxa"/>
            <w:right w:w="1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39E614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茶叶</w:t>
            </w:r>
          </w:p>
        </w:tc>
        <w:tc>
          <w:tcPr>
            <w:tcW w:w="3504"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710164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茶叶</w:t>
            </w:r>
          </w:p>
        </w:tc>
        <w:tc>
          <w:tcPr>
            <w:tcW w:w="4265" w:type="dxa"/>
            <w:tcBorders>
              <w:top w:val="single" w:color="000000" w:sz="4" w:space="0"/>
              <w:left w:val="nil"/>
              <w:bottom w:val="single" w:color="000000" w:sz="4" w:space="0"/>
              <w:right w:val="single" w:color="000000" w:sz="4" w:space="0"/>
            </w:tcBorders>
            <w:shd w:val="clear" w:color="auto" w:fill="FFFFFF"/>
            <w:noWrap w:val="0"/>
            <w:tcMar>
              <w:top w:w="0" w:type="dxa"/>
              <w:left w:w="108" w:type="dxa"/>
              <w:bottom w:w="0" w:type="dxa"/>
              <w:right w:w="108" w:type="dxa"/>
            </w:tcMar>
            <w:vAlign w:val="center"/>
          </w:tcPr>
          <w:p w14:paraId="22DC406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有机磷类、氨基甲酸酯类、菊酯类、有机氯类农药、杀菌剂类农药等</w:t>
            </w:r>
            <w:r>
              <w:rPr>
                <w:rFonts w:hint="eastAsia" w:ascii="仿宋" w:hAnsi="仿宋" w:eastAsia="仿宋" w:cs="仿宋"/>
                <w:color w:val="auto"/>
                <w:sz w:val="24"/>
                <w:szCs w:val="24"/>
                <w:highlight w:val="none"/>
                <w:lang w:eastAsia="zh-CN"/>
              </w:rPr>
              <w:t>。</w:t>
            </w:r>
          </w:p>
        </w:tc>
      </w:tr>
    </w:tbl>
    <w:p w14:paraId="74F4917D">
      <w:pPr>
        <w:spacing w:line="360" w:lineRule="auto"/>
        <w:ind w:firstLine="480" w:firstLineChars="200"/>
        <w:outlineLvl w:val="1"/>
        <w:rPr>
          <w:rFonts w:hint="eastAsia" w:ascii="仿宋" w:hAnsi="仿宋" w:eastAsia="仿宋" w:cs="仿宋"/>
          <w:b w:val="0"/>
          <w:bCs/>
          <w:color w:val="auto"/>
          <w:sz w:val="24"/>
          <w:szCs w:val="24"/>
          <w:highlight w:val="none"/>
        </w:rPr>
      </w:pPr>
      <w:bookmarkStart w:id="4" w:name="_Toc4762"/>
    </w:p>
    <w:p w14:paraId="10E4111B">
      <w:pPr>
        <w:spacing w:line="360" w:lineRule="auto"/>
        <w:ind w:firstLine="480" w:firstLineChars="200"/>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4、工作要求</w:t>
      </w:r>
      <w:bookmarkEnd w:id="4"/>
    </w:p>
    <w:p w14:paraId="45C2445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主动采样或接收样品：</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标人负责服务期内的采样工作，应主动采集样品或接收样品进行食品安全快速检测。所需费用全部包含在</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标报价中，运营过程中不再追加任何费用。</w:t>
      </w:r>
    </w:p>
    <w:p w14:paraId="1E54953C">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快检人</w:t>
      </w:r>
      <w:r>
        <w:rPr>
          <w:rFonts w:hint="eastAsia" w:ascii="仿宋" w:hAnsi="仿宋" w:eastAsia="仿宋" w:cs="仿宋"/>
          <w:b w:val="0"/>
          <w:bCs w:val="0"/>
          <w:color w:val="auto"/>
          <w:sz w:val="24"/>
          <w:szCs w:val="24"/>
          <w:highlight w:val="none"/>
        </w:rPr>
        <w:t>员对样品开展食品安全快速检测：</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负责快检人员食品安全快速检测培训，包括采样、检测操作及结果处理的培训及指导，要进行实操培训，做到人人上机、独立操作、逐个考核、人人过关，确保快检操作人员熟练掌握快检操作技能，顺利完成快检任务。要建立快检人员培训和考核档案，每年培训时间不少于40小时。</w:t>
      </w:r>
    </w:p>
    <w:p w14:paraId="5F5858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检测数据上</w:t>
      </w:r>
      <w:r>
        <w:rPr>
          <w:rFonts w:hint="eastAsia" w:ascii="仿宋" w:hAnsi="仿宋" w:eastAsia="仿宋" w:cs="仿宋"/>
          <w:b w:val="0"/>
          <w:bCs w:val="0"/>
          <w:color w:val="auto"/>
          <w:sz w:val="24"/>
          <w:szCs w:val="24"/>
          <w:highlight w:val="none"/>
        </w:rPr>
        <w:t>传、登记、信息反馈：</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标人需提供食品安全信息化平台，并确保实现在食用农产品采集场所显著位置通过公示栏或电子屏幕及时公示当天快检结果。</w:t>
      </w:r>
    </w:p>
    <w:p w14:paraId="5632CB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结果处</w:t>
      </w:r>
      <w:r>
        <w:rPr>
          <w:rFonts w:hint="eastAsia" w:ascii="仿宋" w:hAnsi="仿宋" w:eastAsia="仿宋" w:cs="仿宋"/>
          <w:b w:val="0"/>
          <w:bCs w:val="0"/>
          <w:color w:val="auto"/>
          <w:sz w:val="24"/>
          <w:szCs w:val="24"/>
          <w:highlight w:val="none"/>
        </w:rPr>
        <w:t>理及公示：</w:t>
      </w:r>
      <w:r>
        <w:rPr>
          <w:rFonts w:hint="eastAsia" w:ascii="仿宋" w:hAnsi="仿宋" w:eastAsia="仿宋" w:cs="仿宋"/>
          <w:color w:val="auto"/>
          <w:sz w:val="24"/>
          <w:szCs w:val="24"/>
          <w:highlight w:val="none"/>
        </w:rPr>
        <w:t>积极将快检产品信息在相关市场内公示，快检人员在现场快检中发现不合格产品的，需要进行复检处理，复检仍然不合格的，要立即将检测结果通报给采购人，并做好相关通报记录；积极配合采购人对不合格的检测报告及相关产品进行处理。</w:t>
      </w:r>
    </w:p>
    <w:p w14:paraId="2F42A2AA">
      <w:pPr>
        <w:spacing w:line="360" w:lineRule="auto"/>
        <w:ind w:firstLine="480" w:firstLineChars="200"/>
        <w:rPr>
          <w:rFonts w:hint="eastAsia" w:ascii="仿宋" w:hAnsi="仿宋" w:eastAsia="仿宋" w:cs="仿宋"/>
          <w:color w:val="auto"/>
          <w:sz w:val="24"/>
          <w:szCs w:val="24"/>
          <w:highlight w:val="none"/>
        </w:rPr>
      </w:pPr>
      <w:bookmarkStart w:id="5" w:name="OLE_LINK3"/>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不合格品后</w:t>
      </w:r>
      <w:r>
        <w:rPr>
          <w:rFonts w:hint="eastAsia" w:ascii="仿宋" w:hAnsi="仿宋" w:eastAsia="仿宋" w:cs="仿宋"/>
          <w:b w:val="0"/>
          <w:bCs w:val="0"/>
          <w:color w:val="auto"/>
          <w:sz w:val="24"/>
          <w:szCs w:val="24"/>
          <w:highlight w:val="none"/>
        </w:rPr>
        <w:t>续处理：</w:t>
      </w:r>
      <w:bookmarkEnd w:id="5"/>
      <w:r>
        <w:rPr>
          <w:rFonts w:hint="eastAsia" w:ascii="仿宋" w:hAnsi="仿宋" w:eastAsia="仿宋" w:cs="仿宋"/>
          <w:color w:val="auto"/>
          <w:sz w:val="24"/>
          <w:szCs w:val="24"/>
          <w:highlight w:val="none"/>
        </w:rPr>
        <w:t>对经快检不合格的食用农产品，</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要协助采购人及时填写《快检不合格结果告知书》，在30分钟内将结果告知采购人，按采购人要求进行处理。商户对快检结果无异议的，指导、配合市场开办方对快检不合格食用农产品采取下架、销毁或其他无害化处理措施，防止其再次流入市场，签订《自主承诺下架协议书》，并对现场处置的文件、照片、视频进行留档；对快检结果有异议的，</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标人需协助采购人进行法定抽样检验，要求</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标人具有法检工作经验，以便出现疑似不合格结果时，协助市场监督管理局相关人员第一时间前往现场完成法检抽样以及送检工作，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需具备食品类检验检测能力；对快检不合格经营者，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要协助采购人持续跟踪、加强自检。</w:t>
      </w:r>
    </w:p>
    <w:p w14:paraId="1C9158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档案管理：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在区域范围内开展食品快检业务所形成的所有检测原始数据及检测结果，归采购人所有。未经采购人允许，不得对外公示或公布。</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应同步进行检测数据的收集、整理、归档，并对检测数据进行综合分析和开发利用，为采购人制定监管措施及改进工作提供数据依据</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按季度将档案资料移交给采购人。</w:t>
      </w:r>
    </w:p>
    <w:p w14:paraId="5A274D6E">
      <w:pPr>
        <w:spacing w:line="360" w:lineRule="auto"/>
        <w:ind w:firstLine="480" w:firstLineChars="200"/>
        <w:rPr>
          <w:rFonts w:hint="eastAsia" w:ascii="仿宋" w:hAnsi="仿宋" w:eastAsia="仿宋" w:cs="仿宋"/>
          <w:b w:val="0"/>
          <w:bCs/>
          <w:color w:val="auto"/>
          <w:sz w:val="24"/>
          <w:szCs w:val="24"/>
          <w:highlight w:val="none"/>
        </w:rPr>
      </w:pPr>
      <w:bookmarkStart w:id="6" w:name="_Toc24776"/>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、拓展服务</w:t>
      </w:r>
      <w:bookmarkEnd w:id="6"/>
    </w:p>
    <w:p w14:paraId="267B000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食品安全知识培训宣传和技术咨询：</w:t>
      </w:r>
      <w:r>
        <w:rPr>
          <w:rFonts w:hint="eastAsia" w:ascii="仿宋" w:hAnsi="仿宋" w:eastAsia="仿宋" w:cs="仿宋"/>
          <w:color w:val="auto"/>
          <w:kern w:val="0"/>
          <w:sz w:val="24"/>
          <w:szCs w:val="24"/>
          <w:highlight w:val="none"/>
        </w:rPr>
        <w:t>快检人员除了完成每天的检测任务之外，还要配合采购单位进行食品安全的宣传活动。制定合理计划,全年覆盖农贸市场、企业、学校、商场等地进行食品安全（含保健食品）宣传活动，同时进行现场快速检测。</w:t>
      </w:r>
    </w:p>
    <w:p w14:paraId="4ED5B354">
      <w:p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7、快检结果验证要求</w:t>
      </w:r>
    </w:p>
    <w:p w14:paraId="7BD0369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采购方将定期通过具有实验室检测资质的机构随机校对快速检测结果的准确性，验证时兼顾高风险食用农产品。中标人应通过具有检验检测机构资质认定证书（CMA）的机构开展不少于160批次的检测数据比对。</w:t>
      </w:r>
    </w:p>
    <w:p w14:paraId="5EBC06DF">
      <w:pPr>
        <w:spacing w:line="360" w:lineRule="auto"/>
        <w:ind w:firstLine="482" w:firstLineChars="200"/>
        <w:outlineLvl w:val="1"/>
        <w:rPr>
          <w:rFonts w:hint="eastAsia" w:ascii="仿宋" w:hAnsi="仿宋" w:eastAsia="仿宋" w:cs="仿宋"/>
          <w:b/>
          <w:bCs/>
          <w:color w:val="auto"/>
          <w:sz w:val="24"/>
          <w:szCs w:val="24"/>
          <w:highlight w:val="none"/>
        </w:rPr>
      </w:pPr>
      <w:bookmarkStart w:id="7" w:name="_Toc2700"/>
      <w:r>
        <w:rPr>
          <w:rFonts w:hint="eastAsia" w:ascii="仿宋" w:hAnsi="仿宋" w:eastAsia="仿宋" w:cs="仿宋"/>
          <w:b/>
          <w:bCs/>
          <w:color w:val="auto"/>
          <w:sz w:val="24"/>
          <w:szCs w:val="24"/>
          <w:highlight w:val="none"/>
          <w:lang w:val="en-US" w:eastAsia="zh-CN" w:bidi="ar-SA"/>
        </w:rPr>
        <w:t>（三）服务质量要求</w:t>
      </w:r>
      <w:bookmarkEnd w:id="7"/>
    </w:p>
    <w:p w14:paraId="196EB8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严格依据相关</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和国家标准，在采购人委托权限范围内开展工作。</w:t>
      </w:r>
    </w:p>
    <w:p w14:paraId="56FAC1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本项目涉及的所有检验数据、评估报告只能对采购人提供，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不得自行对外公布相关的检验数据和结论性信息，不得擅自使用本项目所采集数据，不得将受委托事项再行委托其他单位实施。</w:t>
      </w:r>
    </w:p>
    <w:p w14:paraId="53D0A9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在实施技术服务中发现存在严重事故隐患和重大食品安全风险的，</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立即向采购人进行通报。</w:t>
      </w:r>
    </w:p>
    <w:p w14:paraId="308608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应确保检验结果真实，不得故意隐瞒、修改检测结果，如产生重大影响或事故的，依法依规严肃问责。</w:t>
      </w:r>
    </w:p>
    <w:p w14:paraId="7709C3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应组织快检服务人员进行岗前培训，培训合格方可上岗，如遇检测设备或检测技术升级须及时组织安排培训。</w:t>
      </w:r>
    </w:p>
    <w:p w14:paraId="1EAF0BFB">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bidi="ar-SA"/>
        </w:rPr>
        <w:t>（四）须符合的相关标准和规范</w:t>
      </w:r>
    </w:p>
    <w:p w14:paraId="539AC84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1、《蔬菜中有机磷和氨基甲酸酯类农药残留量的快速检测》GB/T 5009.199；</w:t>
      </w:r>
    </w:p>
    <w:p w14:paraId="334A834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2、《蔬菜上有机磷和氨基甲酸酯类农药残毒快速检测方法》NY/T 448；</w:t>
      </w:r>
    </w:p>
    <w:p w14:paraId="778DA3D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3、《食用农产品快速检测技术规范》T/THSX 501-2023；</w:t>
      </w:r>
    </w:p>
    <w:p w14:paraId="00A64D0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4、《食品卫生检验方法》GB/T5009.1-2003；</w:t>
      </w:r>
    </w:p>
    <w:p w14:paraId="693C02C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5、《实验室质量控制规范 食品理化检测》GB/T27404-2008；</w:t>
      </w:r>
    </w:p>
    <w:p w14:paraId="40323E8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6、《农产品中克百威的快速检测方法 胶体金免疫层析法》T/SATA 025-2021； </w:t>
      </w:r>
    </w:p>
    <w:p w14:paraId="38339D0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7、《农产品快速检测产品评价技术规范》T/GDNB 207-2024； </w:t>
      </w:r>
    </w:p>
    <w:p w14:paraId="6D87792A">
      <w:pPr>
        <w:pStyle w:val="8"/>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8、《食用农产品快速检测管理规范》T/SXAS 003-2019；</w:t>
      </w:r>
    </w:p>
    <w:p w14:paraId="584FD7F1">
      <w:pPr>
        <w:pStyle w:val="8"/>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9、《蔬菜水果中甲基异柳磷的快速检测 胶体金免疫层析法》 KJ 202309；</w:t>
      </w:r>
    </w:p>
    <w:p w14:paraId="55D16970">
      <w:pPr>
        <w:pStyle w:val="8"/>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10、《蔬菜水果中丙环唑的快速检测》KJ 202307；</w:t>
      </w:r>
    </w:p>
    <w:p w14:paraId="62B137E6">
      <w:pPr>
        <w:pStyle w:val="8"/>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11、《豆芽中喹诺酮类药物的快速检测》KJ 202305；</w:t>
      </w:r>
    </w:p>
    <w:p w14:paraId="452AD06A">
      <w:pPr>
        <w:pStyle w:val="8"/>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12、其他适用于本项目的国家标准、行业标准和地方标准。</w:t>
      </w:r>
    </w:p>
    <w:p w14:paraId="662C623A">
      <w:pPr>
        <w:pStyle w:val="8"/>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合同履行期限</w:t>
      </w:r>
      <w:r>
        <w:rPr>
          <w:rFonts w:hint="eastAsia" w:ascii="仿宋" w:hAnsi="仿宋" w:eastAsia="仿宋" w:cs="仿宋"/>
          <w:b/>
          <w:color w:val="auto"/>
          <w:sz w:val="24"/>
          <w:highlight w:val="none"/>
        </w:rPr>
        <w:t>及</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地</w:t>
      </w:r>
      <w:r>
        <w:rPr>
          <w:rFonts w:hint="eastAsia" w:ascii="仿宋" w:hAnsi="仿宋" w:eastAsia="仿宋" w:cs="仿宋"/>
          <w:b/>
          <w:color w:val="auto"/>
          <w:kern w:val="2"/>
          <w:sz w:val="24"/>
          <w:szCs w:val="24"/>
          <w:highlight w:val="none"/>
          <w:lang w:val="en-US" w:eastAsia="zh-CN" w:bidi="ar-SA"/>
        </w:rPr>
        <w:t>点</w:t>
      </w:r>
    </w:p>
    <w:p w14:paraId="0ECE8D93">
      <w:pPr>
        <w:pStyle w:val="8"/>
        <w:spacing w:line="46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（一）服务期限：</w:t>
      </w:r>
      <w:r>
        <w:rPr>
          <w:rFonts w:hint="eastAsia" w:ascii="仿宋" w:hAnsi="仿宋" w:eastAsia="仿宋" w:cs="仿宋"/>
          <w:color w:val="auto"/>
          <w:sz w:val="22"/>
          <w:szCs w:val="22"/>
          <w:highlight w:val="none"/>
          <w:lang w:val="en-US" w:eastAsia="zh-CN"/>
        </w:rPr>
        <w:t>365日天。</w:t>
      </w:r>
    </w:p>
    <w:p w14:paraId="1A32B583">
      <w:pPr>
        <w:pStyle w:val="8"/>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（二）服务地点：采购人指定地点。</w:t>
      </w:r>
    </w:p>
    <w:p w14:paraId="38079108">
      <w:pPr>
        <w:pStyle w:val="6"/>
        <w:tabs>
          <w:tab w:val="left" w:pos="7551"/>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 </w:t>
      </w:r>
      <w:bookmarkStart w:id="8" w:name="_Toc15104"/>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w:t>
      </w:r>
      <w:bookmarkEnd w:id="8"/>
      <w:r>
        <w:rPr>
          <w:rFonts w:hint="eastAsia" w:ascii="仿宋" w:hAnsi="仿宋" w:eastAsia="仿宋" w:cs="仿宋"/>
          <w:b/>
          <w:bCs/>
          <w:color w:val="auto"/>
          <w:sz w:val="24"/>
          <w:highlight w:val="none"/>
          <w:lang w:val="en-US" w:eastAsia="zh-CN"/>
        </w:rPr>
        <w:t>项目实施方案</w:t>
      </w:r>
      <w:r>
        <w:rPr>
          <w:rFonts w:hint="eastAsia" w:ascii="仿宋" w:hAnsi="仿宋" w:eastAsia="仿宋" w:cs="仿宋"/>
          <w:b/>
          <w:bCs/>
          <w:color w:val="auto"/>
          <w:sz w:val="24"/>
          <w:highlight w:val="none"/>
          <w:lang w:val="en-US" w:eastAsia="zh-CN"/>
        </w:rPr>
        <w:tab/>
      </w:r>
    </w:p>
    <w:p w14:paraId="6C80F07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1、技术响应：供应商针对本项目编写现状分析、整体思路及对服务需求理解。</w:t>
      </w:r>
    </w:p>
    <w:p w14:paraId="5C48E7F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2、检测质量控制：供应商针对本项目提供有效的质量控制方案。</w:t>
      </w:r>
    </w:p>
    <w:p w14:paraId="5C70C25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3、拟投入本项目的人员、设备、设施：供应商针对本项目的检测人员能力、实验室能力、设施、设备等方面进行详细描述。</w:t>
      </w:r>
    </w:p>
    <w:p w14:paraId="325D937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4、服务内容分析：供应商针对本项目涉及的重大关键问题，对问题的理解与解决方案等内容进行描述。</w:t>
      </w:r>
    </w:p>
    <w:p w14:paraId="016D885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5、应急处理方案：供应商针对本项目进度要求编写进度安排，进度安排应涵盖重要环节，管理措施得当，各项进度保证措施详实具体。</w:t>
      </w:r>
    </w:p>
    <w:p w14:paraId="01E45166">
      <w:pPr>
        <w:spacing w:line="560" w:lineRule="exact"/>
        <w:ind w:firstLine="482"/>
        <w:rPr>
          <w:rFonts w:hint="eastAsia" w:ascii="仿宋" w:hAnsi="仿宋" w:eastAsia="仿宋" w:cs="仿宋"/>
          <w:b/>
          <w:bCs/>
          <w:color w:val="auto"/>
          <w:sz w:val="24"/>
          <w:szCs w:val="24"/>
          <w:highlight w:val="none"/>
          <w:lang w:val="zh-CN" w:eastAsia="zh-CN" w:bidi="ar-SA"/>
        </w:rPr>
      </w:pPr>
      <w:r>
        <w:rPr>
          <w:rFonts w:hint="eastAsia" w:ascii="仿宋" w:hAnsi="仿宋" w:eastAsia="仿宋" w:cs="仿宋"/>
          <w:b/>
          <w:bCs w:val="0"/>
          <w:color w:val="auto"/>
          <w:sz w:val="24"/>
          <w:szCs w:val="22"/>
          <w:highlight w:val="none"/>
          <w:lang w:val="en-US" w:eastAsia="zh-CN" w:bidi="ar-SA"/>
        </w:rPr>
        <w:t>六</w:t>
      </w:r>
      <w:r>
        <w:rPr>
          <w:rFonts w:hint="eastAsia" w:ascii="仿宋" w:hAnsi="仿宋" w:eastAsia="仿宋" w:cs="仿宋"/>
          <w:b/>
          <w:bCs w:val="0"/>
          <w:color w:val="auto"/>
          <w:sz w:val="24"/>
          <w:szCs w:val="22"/>
          <w:highlight w:val="none"/>
          <w:lang w:val="zh-CN" w:eastAsia="zh-CN" w:bidi="ar-SA"/>
        </w:rPr>
        <w:t>、验收标准及要求</w:t>
      </w:r>
    </w:p>
    <w:p w14:paraId="073AE5B5">
      <w:pPr>
        <w:spacing w:line="560" w:lineRule="exact"/>
        <w:ind w:firstLine="482"/>
        <w:rPr>
          <w:rFonts w:hint="eastAsia" w:ascii="仿宋" w:hAnsi="仿宋" w:eastAsia="仿宋" w:cs="仿宋"/>
          <w:b/>
          <w:bCs/>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.1甲方依法组织履约验收工作。</w:t>
      </w:r>
    </w:p>
    <w:p w14:paraId="2C4D9D9F">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D11EB2C">
      <w:pPr>
        <w:spacing w:before="120" w:after="120" w:line="360" w:lineRule="auto"/>
        <w:ind w:left="47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对于实际使用人和甲方分离的项目，甲方邀请实际使用人参与验收。</w:t>
      </w:r>
    </w:p>
    <w:p w14:paraId="06103287">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.4如有必要，甲方邀请参加本项目的其他供应商或第三方专业机构及专家参与验收，相关意见将作为验收书的参考资料。</w:t>
      </w:r>
    </w:p>
    <w:p w14:paraId="695B6AD0">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5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603F1378">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6验收合格的项目,甲方根据采购合同的约定及时向乙方支付合同款项、退还履约保证金（如有）。验收不合格的项目，甲方依法及时处理。采购合同的履行、违约责任和解决争议的方式等适用《民法典》。乙方在履约过程中有政府采购法律法规规定的违法违规情形的,甲方将及时报告本级财政部门。</w:t>
      </w:r>
    </w:p>
    <w:p w14:paraId="0A6B4791">
      <w:pPr>
        <w:keepNext w:val="0"/>
        <w:keepLines w:val="0"/>
        <w:pageBreakBefore w:val="0"/>
        <w:widowControl w:val="0"/>
        <w:numPr>
          <w:ilvl w:val="0"/>
          <w:numId w:val="0"/>
        </w:numPr>
        <w:spacing w:line="480" w:lineRule="auto"/>
        <w:ind w:firstLine="482"/>
        <w:rPr>
          <w:rFonts w:hint="eastAsia" w:ascii="仿宋" w:hAnsi="仿宋" w:eastAsia="仿宋" w:cs="仿宋"/>
          <w:b/>
          <w:color w:val="auto"/>
          <w:sz w:val="24"/>
          <w:szCs w:val="22"/>
          <w:highlight w:val="none"/>
        </w:rPr>
      </w:pPr>
      <w:r>
        <w:rPr>
          <w:rFonts w:hint="eastAsia" w:ascii="仿宋" w:hAnsi="仿宋" w:eastAsia="仿宋" w:cs="仿宋"/>
          <w:b/>
          <w:bCs/>
          <w:i w:val="0"/>
          <w:iCs w:val="0"/>
          <w:caps w:val="0"/>
          <w:color w:val="auto"/>
          <w:sz w:val="24"/>
          <w:highlight w:val="none"/>
          <w:u w:val="none"/>
          <w:lang w:val="en-US" w:eastAsia="zh-CN"/>
        </w:rPr>
        <w:t>七、</w:t>
      </w:r>
      <w:r>
        <w:rPr>
          <w:rFonts w:hint="eastAsia" w:ascii="仿宋" w:hAnsi="仿宋" w:eastAsia="仿宋" w:cs="仿宋"/>
          <w:b/>
          <w:color w:val="auto"/>
          <w:sz w:val="24"/>
          <w:szCs w:val="22"/>
          <w:highlight w:val="none"/>
        </w:rPr>
        <w:t>政府采购需求标准</w:t>
      </w:r>
    </w:p>
    <w:p w14:paraId="68884D5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1、政府采购节能产品、环境标志产品</w:t>
      </w:r>
    </w:p>
    <w:p w14:paraId="53C94842">
      <w:pPr>
        <w:spacing w:line="360" w:lineRule="auto"/>
        <w:ind w:firstLine="24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20D7814">
      <w:pPr>
        <w:spacing w:line="360" w:lineRule="auto"/>
        <w:ind w:firstLine="24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（2）采购人拟采购的产品属于政府强制采购的节能产品品目清单范围的，投标人须提供国家确定的认证机构出具的、处于有效期之内的节能产品认证证书的，否则无效标处理。</w:t>
      </w:r>
    </w:p>
    <w:p w14:paraId="53328C7F">
      <w:pPr>
        <w:spacing w:line="360" w:lineRule="auto"/>
        <w:ind w:firstLine="24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（3）采购人拟采购的产品属于优先采购的节能环保品目清单范围的，按以下条件优先采购：</w:t>
      </w:r>
    </w:p>
    <w:p w14:paraId="420B99E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采用综合评分法的项目，对提供有效节能环保证书的投标人加分。</w:t>
      </w:r>
    </w:p>
    <w:p w14:paraId="1F1B88D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采用最低评标价法的项目，同等条件下优先推荐提供有效节能环保证书多的投标人为中标人。</w:t>
      </w:r>
      <w:r>
        <w:rPr>
          <w:rFonts w:hint="eastAsia" w:ascii="仿宋" w:hAnsi="仿宋" w:eastAsia="仿宋" w:cs="仿宋"/>
          <w:b/>
          <w:bCs/>
          <w:caps w:val="0"/>
          <w:color w:val="auto"/>
          <w:sz w:val="24"/>
          <w:szCs w:val="24"/>
          <w:highlight w:val="none"/>
          <w:lang w:eastAsia="zh-CN"/>
        </w:rPr>
        <w:t>注：本项目</w:t>
      </w:r>
      <w:r>
        <w:rPr>
          <w:rFonts w:hint="eastAsia" w:ascii="仿宋" w:hAnsi="仿宋" w:eastAsia="仿宋" w:cs="仿宋"/>
          <w:b/>
          <w:bCs/>
          <w:caps w:val="0"/>
          <w:color w:val="auto"/>
          <w:sz w:val="24"/>
          <w:szCs w:val="24"/>
          <w:highlight w:val="none"/>
          <w:lang w:val="en-US" w:eastAsia="zh-CN"/>
        </w:rPr>
        <w:t>无</w:t>
      </w:r>
      <w:r>
        <w:rPr>
          <w:rFonts w:hint="eastAsia" w:ascii="仿宋" w:hAnsi="仿宋" w:eastAsia="仿宋" w:cs="仿宋"/>
          <w:b/>
          <w:bCs/>
          <w:caps w:val="0"/>
          <w:color w:val="auto"/>
          <w:sz w:val="24"/>
          <w:szCs w:val="24"/>
          <w:highlight w:val="none"/>
          <w:lang w:eastAsia="zh-CN"/>
        </w:rPr>
        <w:t>节能产品、环境标志产品。</w:t>
      </w:r>
    </w:p>
    <w:p w14:paraId="59F00227">
      <w:pPr>
        <w:spacing w:line="360" w:lineRule="auto"/>
        <w:ind w:firstLine="48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2、商品包装、快递包装政府采购需求标准（试行）</w:t>
      </w:r>
    </w:p>
    <w:p w14:paraId="6AE47BDE">
      <w:pPr>
        <w:spacing w:line="360" w:lineRule="auto"/>
        <w:ind w:firstLine="48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r>
        <w:rPr>
          <w:rFonts w:hint="eastAsia" w:ascii="仿宋" w:hAnsi="仿宋" w:eastAsia="仿宋" w:cs="仿宋"/>
          <w:b/>
          <w:bCs/>
          <w:caps w:val="0"/>
          <w:color w:val="auto"/>
          <w:sz w:val="24"/>
          <w:szCs w:val="24"/>
          <w:highlight w:val="none"/>
          <w:lang w:eastAsia="zh-CN"/>
        </w:rPr>
        <w:t>注：本项目属于服务类项目。</w:t>
      </w:r>
      <w:r>
        <w:rPr>
          <w:rFonts w:hint="eastAsia" w:ascii="仿宋" w:hAnsi="仿宋" w:eastAsia="仿宋" w:cs="仿宋"/>
          <w:bCs/>
          <w:color w:val="auto"/>
          <w:sz w:val="24"/>
          <w:szCs w:val="22"/>
          <w:highlight w:val="none"/>
        </w:rPr>
        <w:t xml:space="preserve"> </w:t>
      </w:r>
    </w:p>
    <w:p w14:paraId="15DF7796">
      <w:pPr>
        <w:spacing w:line="360" w:lineRule="auto"/>
        <w:ind w:firstLine="48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3、绿色数据中心政府采购需求标准（试行）</w:t>
      </w:r>
    </w:p>
    <w:p w14:paraId="7C57A2F8">
      <w:pPr>
        <w:pStyle w:val="12"/>
        <w:spacing w:line="500" w:lineRule="exact"/>
        <w:ind w:firstLine="482"/>
        <w:rPr>
          <w:rFonts w:hint="eastAsia" w:ascii="仿宋" w:hAnsi="仿宋" w:eastAsia="仿宋" w:cs="仿宋"/>
          <w:color w:val="auto"/>
          <w:sz w:val="24"/>
          <w:szCs w:val="22"/>
          <w:highlight w:val="none"/>
          <w:lang w:val="en-US" w:eastAsia="zh-CN"/>
        </w:rPr>
      </w:pPr>
      <w:r>
        <w:rPr>
          <w:rFonts w:hint="eastAsia" w:ascii="仿宋" w:hAnsi="仿宋" w:eastAsia="仿宋" w:cs="仿宋"/>
          <w:bCs/>
          <w:color w:val="auto"/>
          <w:sz w:val="24"/>
          <w:szCs w:val="22"/>
          <w:highlight w:val="none"/>
        </w:rPr>
        <w:t>为加快数据中心绿色转型，根据财政部 生态环境部 工业和信息化部关于印发《绿色数据中心政府采购需求标准（试行）》的通知），本项目如涉及绿色数据中心，投标人应当提供符合需求标准的产品 。</w:t>
      </w:r>
    </w:p>
    <w:p w14:paraId="27169E4F">
      <w:pPr>
        <w:pStyle w:val="13"/>
        <w:spacing w:line="360" w:lineRule="auto"/>
        <w:ind w:firstLine="482" w:firstLineChars="200"/>
        <w:outlineLvl w:val="9"/>
        <w:rPr>
          <w:rFonts w:hint="eastAsia" w:ascii="仿宋" w:hAnsi="仿宋" w:eastAsia="仿宋" w:cs="仿宋"/>
          <w:b/>
          <w:bCs w:val="0"/>
          <w:color w:val="auto"/>
          <w:kern w:val="2"/>
          <w:sz w:val="24"/>
          <w:szCs w:val="22"/>
          <w:highlight w:val="none"/>
          <w:lang w:val="en-US" w:eastAsia="zh-CN" w:bidi="ar-SA"/>
        </w:rPr>
      </w:pPr>
    </w:p>
    <w:p w14:paraId="18C0B8BD">
      <w:pPr>
        <w:pStyle w:val="13"/>
        <w:spacing w:line="360" w:lineRule="auto"/>
        <w:ind w:firstLine="482" w:firstLineChars="200"/>
        <w:outlineLvl w:val="9"/>
        <w:rPr>
          <w:rFonts w:hint="eastAsia" w:ascii="仿宋" w:hAnsi="仿宋" w:eastAsia="仿宋" w:cs="仿宋"/>
          <w:b/>
          <w:bCs w:val="0"/>
          <w:color w:val="auto"/>
          <w:kern w:val="2"/>
          <w:sz w:val="24"/>
          <w:szCs w:val="22"/>
          <w:highlight w:val="none"/>
          <w:lang w:val="en-US" w:eastAsia="zh-CN" w:bidi="ar-SA"/>
        </w:rPr>
      </w:pPr>
      <w:r>
        <w:rPr>
          <w:rFonts w:hint="eastAsia" w:ascii="仿宋" w:hAnsi="仿宋" w:eastAsia="仿宋" w:cs="仿宋"/>
          <w:b/>
          <w:bCs w:val="0"/>
          <w:color w:val="auto"/>
          <w:kern w:val="2"/>
          <w:sz w:val="24"/>
          <w:szCs w:val="22"/>
          <w:highlight w:val="none"/>
          <w:lang w:val="en-US" w:eastAsia="zh-CN" w:bidi="ar-SA"/>
        </w:rPr>
        <w:t>八、其他要求</w:t>
      </w:r>
    </w:p>
    <w:p w14:paraId="0EA10DC8">
      <w:pPr>
        <w:pStyle w:val="13"/>
        <w:spacing w:line="360" w:lineRule="auto"/>
        <w:ind w:firstLine="480" w:firstLineChars="200"/>
        <w:outlineLvl w:val="9"/>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一）本项目不接受备选的响应方案或有选择的报价，只允许有一个报价。响应报价应包括：服务本身、试剂耗材、样品采样、样品快检等食用农产品检测、人工费、差旅费、服务费、税金以及交付使用过程中涉及到的其他一切费用。</w:t>
      </w:r>
    </w:p>
    <w:p w14:paraId="65E7BA39">
      <w:pPr>
        <w:pStyle w:val="21"/>
        <w:spacing w:line="360" w:lineRule="auto"/>
        <w:ind w:firstLine="482" w:firstLineChars="200"/>
        <w:outlineLvl w:val="9"/>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（二）中标人报价时应充分考虑所有可能影响到报价的因素，一旦评审结束最终成交，总价将包定，不予调整。如发生漏、缺、少项，都将被认为是成交人的报价让利行为，损失自负。</w:t>
      </w:r>
    </w:p>
    <w:p w14:paraId="4EB9C1FC">
      <w:pPr>
        <w:keepNext w:val="0"/>
        <w:keepLines w:val="0"/>
        <w:pageBreakBefore w:val="0"/>
        <w:widowControl w:val="0"/>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2"/>
          <w:highlight w:val="none"/>
          <w:lang w:val="en-US" w:eastAsia="zh-CN" w:bidi="ar-SA"/>
        </w:rPr>
        <w:t>（三）项目实施过程中采购人会向中标人提供相应的场地、水电等硬件支持，在项目实施过程中，如果遇到特殊情况，中标人应与采购人积极协商，最终处置以协商结果为准。</w:t>
      </w:r>
    </w:p>
    <w:p w14:paraId="73E224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42C87"/>
    <w:rsid w:val="59A4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color w:val="000000"/>
      <w:kern w:val="0"/>
      <w:sz w:val="24"/>
      <w:szCs w:val="24"/>
    </w:rPr>
  </w:style>
  <w:style w:type="table" w:styleId="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正文_16"/>
    <w:next w:val="7"/>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7">
    <w:name w:val="标题 3_0"/>
    <w:basedOn w:val="8"/>
    <w:next w:val="6"/>
    <w:unhideWhenUsed/>
    <w:qFormat/>
    <w:uiPriority w:val="0"/>
    <w:pPr>
      <w:keepNext/>
      <w:keepLines/>
      <w:spacing w:before="260" w:after="260" w:line="415" w:lineRule="auto"/>
      <w:outlineLvl w:val="2"/>
    </w:pPr>
    <w:rPr>
      <w:b/>
      <w:bCs/>
      <w:kern w:val="0"/>
      <w:sz w:val="32"/>
      <w:szCs w:val="32"/>
    </w:rPr>
  </w:style>
  <w:style w:type="paragraph" w:customStyle="1" w:styleId="8">
    <w:name w:val="正文_2"/>
    <w:next w:val="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文本块_0"/>
    <w:basedOn w:val="8"/>
    <w:qFormat/>
    <w:uiPriority w:val="0"/>
    <w:pPr>
      <w:spacing w:line="360" w:lineRule="exact"/>
      <w:ind w:left="1548" w:leftChars="-857" w:right="12" w:rightChars="12" w:hanging="2405" w:hangingChars="2405"/>
    </w:pPr>
    <w:rPr>
      <w:rFonts w:ascii="宋体"/>
      <w:bCs/>
      <w:sz w:val="28"/>
    </w:rPr>
  </w:style>
  <w:style w:type="paragraph" w:customStyle="1" w:styleId="10">
    <w:name w:val="正文文本_0"/>
    <w:basedOn w:val="8"/>
    <w:qFormat/>
    <w:uiPriority w:val="0"/>
    <w:rPr>
      <w:rFonts w:ascii="仿宋" w:eastAsia="仿宋" w:cs="仿宋"/>
      <w:sz w:val="24"/>
      <w:szCs w:val="24"/>
      <w:lang w:val="zh-CN" w:bidi="zh-CN"/>
    </w:rPr>
  </w:style>
  <w:style w:type="paragraph" w:styleId="11">
    <w:name w:val="List Paragraph"/>
    <w:basedOn w:val="1"/>
    <w:qFormat/>
    <w:uiPriority w:val="34"/>
    <w:pPr>
      <w:ind w:left="720"/>
      <w:contextualSpacing/>
    </w:pPr>
  </w:style>
  <w:style w:type="paragraph" w:customStyle="1" w:styleId="12">
    <w:name w:val="正文1_0"/>
    <w:qFormat/>
    <w:uiPriority w:val="0"/>
    <w:pPr>
      <w:widowControl w:val="0"/>
      <w:jc w:val="both"/>
    </w:pPr>
    <w:rPr>
      <w:rFonts w:hint="default" w:ascii="Times New Roman" w:hAnsi="Times New Roman" w:eastAsia="宋体" w:cs="Times New Roman"/>
      <w:szCs w:val="24"/>
    </w:rPr>
  </w:style>
  <w:style w:type="paragraph" w:customStyle="1" w:styleId="13">
    <w:name w:val="Normal_19_0"/>
    <w:basedOn w:val="14"/>
    <w:next w:val="19"/>
    <w:qFormat/>
    <w:uiPriority w:val="0"/>
    <w:rPr>
      <w:szCs w:val="24"/>
    </w:rPr>
  </w:style>
  <w:style w:type="paragraph" w:customStyle="1" w:styleId="14">
    <w:name w:val="Normal1"/>
    <w:next w:val="15"/>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5">
    <w:name w:val="标题 31"/>
    <w:basedOn w:val="14"/>
    <w:next w:val="1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6">
    <w:name w:val="Normal_19"/>
    <w:next w:val="17"/>
    <w:qFormat/>
    <w:uiPriority w:val="0"/>
    <w:rPr>
      <w:rFonts w:hint="default" w:ascii="黑体" w:hAnsi="黑体" w:eastAsia="黑体" w:cs="黑体"/>
      <w:b/>
      <w:sz w:val="32"/>
      <w:szCs w:val="24"/>
      <w:lang w:val="en-US" w:eastAsia="zh-CN" w:bidi="ar-SA"/>
    </w:rPr>
  </w:style>
  <w:style w:type="paragraph" w:customStyle="1" w:styleId="17">
    <w:name w:val="正文_17"/>
    <w:next w:val="18"/>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18">
    <w:name w:val="正文文本缩进_1"/>
    <w:basedOn w:val="17"/>
    <w:qFormat/>
    <w:uiPriority w:val="0"/>
    <w:pPr>
      <w:ind w:firstLine="225"/>
    </w:pPr>
    <w:rPr>
      <w:rFonts w:ascii="仿宋_GB2312" w:eastAsia="仿宋_GB2312"/>
      <w:sz w:val="32"/>
    </w:rPr>
  </w:style>
  <w:style w:type="paragraph" w:customStyle="1" w:styleId="19">
    <w:name w:val="Heading 4_0_0"/>
    <w:basedOn w:val="13"/>
    <w:next w:val="20"/>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sz w:val="28"/>
    </w:rPr>
  </w:style>
  <w:style w:type="paragraph" w:customStyle="1" w:styleId="20">
    <w:name w:val="Normal Indent_1"/>
    <w:basedOn w:val="13"/>
    <w:qFormat/>
    <w:uiPriority w:val="0"/>
    <w:pPr>
      <w:autoSpaceDE w:val="0"/>
      <w:autoSpaceDN w:val="0"/>
      <w:adjustRightInd w:val="0"/>
      <w:snapToGrid w:val="0"/>
      <w:ind w:firstLine="420"/>
    </w:pPr>
    <w:rPr>
      <w:rFonts w:ascii="宋体"/>
      <w:color w:val="000000"/>
      <w:sz w:val="24"/>
    </w:rPr>
  </w:style>
  <w:style w:type="paragraph" w:customStyle="1" w:styleId="21">
    <w:name w:val="Normal_20"/>
    <w:qFormat/>
    <w:uiPriority w:val="0"/>
    <w:rPr>
      <w:rFonts w:hint="default" w:ascii="黑体" w:hAnsi="黑体" w:eastAsia="黑体" w:cs="黑体"/>
      <w:b/>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2025-03-03T06:35:00Z</dcterms:created>
  <dc:creator>lucky</dc:creator>
  <cp:lastModifiedBy>lucky</cp:lastModifiedBy>
  <dcterms:modified xsi:type="dcterms:W3CDTF">2025-03-03T06:35:39Z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1052EBA302BD4B42BE2C7564BD4D726C_11</vt:lpwstr>
  </property>
  <property fmtid="{D5CDD505-2E9C-101B-9397-08002B2CF9AE}" pid="4" name="KSOTemplateDocerSaveRecord">
    <vt:lpwstr>eyJoZGlkIjoiNmIxMjI1ZGY3ZWE0MzNlZDg5NWE3ZTAxMzI4NTM0N2EiLCJ1c2VySWQiOiIyMDM3MzQ3MzEifQ==</vt:lpwstr>
  </property>
</Properties>
</file>